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E0" w:rsidRPr="00F63CD8" w:rsidRDefault="00626FE0" w:rsidP="00F63CD8">
      <w:pPr>
        <w:pStyle w:val="Heading"/>
        <w:spacing w:line="240" w:lineRule="auto"/>
        <w:rPr>
          <w:rFonts w:ascii="Arial" w:hAnsi="Arial" w:cs="Arial"/>
        </w:rPr>
      </w:pPr>
      <w:r w:rsidRPr="00F63CD8">
        <w:rPr>
          <w:rFonts w:ascii="Arial" w:hAnsi="Arial" w:cs="Arial"/>
        </w:rPr>
        <w:t xml:space="preserve">THE </w:t>
      </w:r>
      <w:r w:rsidR="00F63CD8">
        <w:rPr>
          <w:rFonts w:ascii="Arial" w:hAnsi="Arial" w:cs="Arial"/>
        </w:rPr>
        <w:t>‘</w:t>
      </w:r>
      <w:r w:rsidRPr="00F63CD8">
        <w:rPr>
          <w:rFonts w:ascii="Arial" w:hAnsi="Arial" w:cs="Arial"/>
        </w:rPr>
        <w:t>right baggage</w:t>
      </w:r>
      <w:r w:rsidR="00F63CD8">
        <w:rPr>
          <w:rFonts w:ascii="Arial" w:hAnsi="Arial" w:cs="Arial"/>
        </w:rPr>
        <w:t xml:space="preserve">’ for </w:t>
      </w:r>
      <w:r w:rsidR="00F63CD8" w:rsidRPr="00F63CD8">
        <w:rPr>
          <w:rFonts w:ascii="Arial" w:hAnsi="Arial" w:cs="Arial"/>
        </w:rPr>
        <w:t>mathematics</w:t>
      </w:r>
      <w:r w:rsidRPr="00F63CD8">
        <w:rPr>
          <w:rFonts w:ascii="Arial" w:hAnsi="Arial" w:cs="Arial"/>
        </w:rPr>
        <w:t>?</w:t>
      </w:r>
    </w:p>
    <w:p w:rsidR="00F63CD8" w:rsidRPr="00F63CD8" w:rsidRDefault="00626FE0" w:rsidP="00F63CD8">
      <w:pPr>
        <w:pStyle w:val="Heading20"/>
        <w:spacing w:line="240" w:lineRule="auto"/>
        <w:jc w:val="center"/>
        <w:rPr>
          <w:rFonts w:ascii="Arial" w:hAnsi="Arial" w:cs="Arial"/>
        </w:rPr>
      </w:pPr>
      <w:r w:rsidRPr="00F63CD8">
        <w:rPr>
          <w:rFonts w:ascii="Arial" w:hAnsi="Arial" w:cs="Arial"/>
        </w:rPr>
        <w:t>Mary Briggs</w:t>
      </w:r>
    </w:p>
    <w:p w:rsidR="00626FE0" w:rsidRDefault="00626FE0" w:rsidP="00F63CD8">
      <w:pPr>
        <w:pStyle w:val="Heading20"/>
        <w:spacing w:line="240" w:lineRule="auto"/>
        <w:jc w:val="center"/>
        <w:rPr>
          <w:rFonts w:ascii="Arial" w:hAnsi="Arial" w:cs="Arial"/>
          <w:b w:val="0"/>
          <w:sz w:val="24"/>
          <w:szCs w:val="24"/>
        </w:rPr>
      </w:pPr>
      <w:r w:rsidRPr="00F63CD8">
        <w:rPr>
          <w:rFonts w:ascii="Arial" w:hAnsi="Arial" w:cs="Arial"/>
          <w:b w:val="0"/>
          <w:sz w:val="24"/>
          <w:szCs w:val="24"/>
        </w:rPr>
        <w:t>University of Warwick</w:t>
      </w:r>
    </w:p>
    <w:p w:rsidR="00F63CD8" w:rsidRPr="00F63CD8" w:rsidRDefault="00F63CD8" w:rsidP="00F63CD8">
      <w:pPr>
        <w:pStyle w:val="Heading20"/>
        <w:spacing w:before="0" w:line="240" w:lineRule="auto"/>
        <w:jc w:val="center"/>
        <w:rPr>
          <w:rFonts w:ascii="Arial" w:hAnsi="Arial" w:cs="Arial"/>
          <w:b w:val="0"/>
          <w:sz w:val="24"/>
          <w:szCs w:val="24"/>
        </w:rPr>
      </w:pPr>
      <w:r w:rsidRPr="00F63CD8">
        <w:rPr>
          <w:rFonts w:ascii="Arial" w:hAnsi="Arial" w:cs="Arial"/>
          <w:b w:val="0"/>
          <w:sz w:val="24"/>
          <w:szCs w:val="24"/>
        </w:rPr>
        <w:t>Mary.Briggs @ warwick.ac.uk</w:t>
      </w:r>
    </w:p>
    <w:p w:rsidR="00F63CD8" w:rsidRPr="00F63CD8" w:rsidRDefault="00F63CD8" w:rsidP="00F63CD8">
      <w:pPr>
        <w:pStyle w:val="Heading20"/>
        <w:spacing w:line="240" w:lineRule="auto"/>
        <w:jc w:val="center"/>
        <w:rPr>
          <w:rFonts w:ascii="Arial" w:hAnsi="Arial" w:cs="Arial"/>
          <w:b w:val="0"/>
          <w:sz w:val="24"/>
          <w:szCs w:val="24"/>
        </w:rPr>
      </w:pPr>
    </w:p>
    <w:p w:rsidR="00626FE0" w:rsidRDefault="00626FE0" w:rsidP="00F63CD8">
      <w:pPr>
        <w:pStyle w:val="Heading20"/>
        <w:spacing w:line="240" w:lineRule="auto"/>
        <w:jc w:val="center"/>
      </w:pPr>
      <w:r>
        <w:t>Abstract</w:t>
      </w:r>
    </w:p>
    <w:p w:rsidR="00626FE0" w:rsidRDefault="00626FE0" w:rsidP="00F63CD8">
      <w:pPr>
        <w:pStyle w:val="transcript"/>
        <w:spacing w:before="120" w:line="240" w:lineRule="auto"/>
        <w:ind w:left="284" w:right="284"/>
        <w:jc w:val="both"/>
        <w:rPr>
          <w:i/>
        </w:rPr>
      </w:pPr>
      <w:r>
        <w:rPr>
          <w:i/>
        </w:rPr>
        <w:t xml:space="preserve">There has been a great deal of research into aspects of mathematics anxiety and learners negative experiences and the effects of collecting this </w:t>
      </w:r>
      <w:r w:rsidR="00F63CD8">
        <w:rPr>
          <w:i/>
        </w:rPr>
        <w:t>‘</w:t>
      </w:r>
      <w:r>
        <w:rPr>
          <w:i/>
        </w:rPr>
        <w:t>baggage</w:t>
      </w:r>
      <w:r w:rsidR="00F63CD8">
        <w:rPr>
          <w:i/>
        </w:rPr>
        <w:t>’</w:t>
      </w:r>
      <w:r>
        <w:rPr>
          <w:i/>
        </w:rPr>
        <w:t xml:space="preserve"> that is carried onto future experiences with the learner.  Are the experiences and therefore the baggage  collected by those who are successful in studying mathematics different?  This paper addresses the issue of what  constitutes the ‘right baggage’  collected from early experiences that positively influence attitudes and achievement in mathematics.  Using oral history as the method for collecting those early experiences this paper describes the results from interviews of  mathematicians, raising  questions for mathematics educators.</w:t>
      </w:r>
    </w:p>
    <w:p w:rsidR="00F63CD8" w:rsidRDefault="00F63CD8" w:rsidP="00F63CD8">
      <w:pPr>
        <w:pStyle w:val="transcript"/>
        <w:spacing w:before="120" w:line="240" w:lineRule="auto"/>
        <w:ind w:left="284" w:right="284"/>
        <w:jc w:val="both"/>
      </w:pPr>
    </w:p>
    <w:p w:rsidR="00626FE0" w:rsidRDefault="00626FE0" w:rsidP="00F63CD8">
      <w:pPr>
        <w:spacing w:line="240" w:lineRule="auto"/>
        <w:jc w:val="both"/>
        <w:rPr>
          <w:b/>
        </w:rPr>
      </w:pPr>
      <w:r>
        <w:rPr>
          <w:b/>
        </w:rPr>
        <w:t>Introduction</w:t>
      </w:r>
    </w:p>
    <w:p w:rsidR="00626FE0" w:rsidRDefault="00626FE0" w:rsidP="00F63CD8">
      <w:pPr>
        <w:spacing w:line="240" w:lineRule="auto"/>
        <w:jc w:val="both"/>
      </w:pPr>
      <w:r>
        <w:t xml:space="preserve">The baggage accumulated from early experiences is carried with the learner and influences later attitudes to learning mathematics.  Studies of people’s learning of mathematics have focused on those who had been unsuccessful, fearful or disinterested.  Briggs and Crook (1991) investigated student teachers’ attitudes to mathematics and found they used words like ‘totally devastated,’ ‘frustrated’, ‘embarrassed’, ‘failing’ and ‘terrified’ to describe their memories of learning mathematics.  Yet there are those who enjoy the subject, are successful and go on study mathematics in great depth.  A quotation from Russell gives a flavour of how some people have very positive feelings about mathematics; “At the age of 11, I began Euclid...this was one of the great events of my life, as dazzling as first love.  I had not imagined there was anything so delicious in the world,” (Buxton, 1981, p.17)  What are the experiences of those who are successful?  Do they have different early learning experiences? </w:t>
      </w:r>
    </w:p>
    <w:p w:rsidR="00626FE0" w:rsidRDefault="00626FE0" w:rsidP="00F63CD8">
      <w:pPr>
        <w:spacing w:line="240" w:lineRule="auto"/>
        <w:jc w:val="both"/>
        <w:rPr>
          <w:b/>
        </w:rPr>
      </w:pPr>
      <w:r>
        <w:rPr>
          <w:b/>
        </w:rPr>
        <w:t>Oral History</w:t>
      </w:r>
    </w:p>
    <w:p w:rsidR="00626FE0" w:rsidRDefault="00626FE0" w:rsidP="00F63CD8">
      <w:pPr>
        <w:spacing w:line="240" w:lineRule="auto"/>
        <w:jc w:val="both"/>
      </w:pPr>
      <w:r>
        <w:t>Oral history is the collection of an oral record of interviews with individuals to investigate specific events or groups of people through a focus on their lives.  The material generated provides a historical narrative.  For the researcher this creates advantages and disadvantages.  Derived from human perception it is subjective but being oral allows the researcher to challenge subjectivity probing beneath/beyond the subjective responses of the interviewees.  This does not mean that the researcher accepts the material as objective as this approach is not chosen to identify specific truths.  The subjectivity itself can be more revealing, the way people remember what happened and the effect that has is perhaps more important than what actually happened.</w:t>
      </w:r>
    </w:p>
    <w:p w:rsidR="00626FE0" w:rsidRDefault="00626FE0" w:rsidP="00F63CD8">
      <w:pPr>
        <w:spacing w:line="240" w:lineRule="auto"/>
        <w:jc w:val="both"/>
      </w:pPr>
      <w:r>
        <w:t xml:space="preserve">Oral history has been used to study a wide range of historical events...'and proved to be a training ground for imaginative interpretation, rather than an alternative to </w:t>
      </w:r>
      <w:r>
        <w:lastRenderedPageBreak/>
        <w:t xml:space="preserve">archives....' (Niethammer, </w:t>
      </w:r>
      <w:r w:rsidR="00F63CD8">
        <w:t>1979, p.27</w:t>
      </w:r>
      <w:r>
        <w:t xml:space="preserve">).  In choosing to use oral history material for research purposes the intention is to focus on general pictures being conveyed of individuals lives and the key events within them.  For this study using oral history provided the opportunity to focus on the lives of mathematicians and to find out more about specific events, people and aspects of mathematics that have been of key importance to them as individuals.  It also offered the opportunity to look at the positive experiences of learning mathematics when the vast majority of the literature available at present dwells on the negative aspects and experiences of mathematics.  </w:t>
      </w:r>
    </w:p>
    <w:p w:rsidR="00626FE0" w:rsidRDefault="00626FE0" w:rsidP="00F63CD8">
      <w:pPr>
        <w:spacing w:line="240" w:lineRule="auto"/>
        <w:jc w:val="both"/>
      </w:pPr>
      <w:r>
        <w:rPr>
          <w:b/>
        </w:rPr>
        <w:t>The interviews.</w:t>
      </w:r>
    </w:p>
    <w:p w:rsidR="00626FE0" w:rsidRDefault="00626FE0" w:rsidP="00F63CD8">
      <w:pPr>
        <w:spacing w:line="240" w:lineRule="auto"/>
        <w:jc w:val="both"/>
        <w:rPr>
          <w:b/>
        </w:rPr>
      </w:pPr>
      <w:r>
        <w:t xml:space="preserve">There were five people interviewed for this study all of who have studied mathematics to doctoral level.  The information gained during the interviews focuses on the interviewee’s childhood, family structure, education and experiences of learning mathematics.  The interviews were semi-structured, there were no specific questions but all covered the following areas:- Introductions, date and place of birth, family-parents-background and siblings, extended family, early childhood, school entry, primary school, secondary school, influence of teachers, influence of events, and, when mathematics and why?  There were a number of supplementary areas covered due to the information given by the interviewees, for example background information about particular countries and political events during the interviewee’s life time.  There was 'a basic shape to guide the mind' (Thompson 1978, p. 171), and the structure </w:t>
      </w:r>
      <w:r w:rsidR="00F63CD8">
        <w:t>trialled</w:t>
      </w:r>
      <w:r>
        <w:t xml:space="preserve"> through use of a pilot interview.  All interviews were carried out in a location familiar to the interviewees as the location of the interview is important in setting the right tone and can effect the responses recorded (Thompson, 1978, p.119).  </w:t>
      </w:r>
    </w:p>
    <w:p w:rsidR="00626FE0" w:rsidRDefault="00626FE0" w:rsidP="00F63CD8">
      <w:pPr>
        <w:spacing w:line="240" w:lineRule="auto"/>
        <w:jc w:val="both"/>
        <w:rPr>
          <w:b/>
        </w:rPr>
      </w:pPr>
      <w:r>
        <w:rPr>
          <w:b/>
        </w:rPr>
        <w:t>Analysis of the interviews.</w:t>
      </w:r>
    </w:p>
    <w:p w:rsidR="00626FE0" w:rsidRDefault="00626FE0" w:rsidP="00F63CD8">
      <w:pPr>
        <w:spacing w:line="240" w:lineRule="auto"/>
        <w:jc w:val="both"/>
      </w:pPr>
      <w:r>
        <w:t>When analysing any interviews the listener must be aware of the relationship between the speaker and the material imparted.</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Like myth, memory requires a radical simplification of its subject matter.  All recollections are told from a stand-point in the present.  In telling, they need to make sense of the past.  That demands a selecting, ordering and simplifying, a construction of coherent narrative whose logic works to draw the life story towards a fable.  (Samuel and Thompson, 1990,p.8)</w:t>
      </w:r>
    </w:p>
    <w:p w:rsidR="00626FE0" w:rsidRDefault="00626FE0" w:rsidP="00F63CD8">
      <w:pPr>
        <w:spacing w:line="240" w:lineRule="auto"/>
        <w:jc w:val="both"/>
      </w:pPr>
      <w:r>
        <w:t xml:space="preserve">At the same time the interviews can be considered to contain facts plus the speaker's interpretation of their lives with emotions and personal events (Giles, 1992).  As a result of this when evaluating the material a check for bias must be made.  This can be assessed by focusing on the internal inconsistency, though some minor in consistencies might be expected, a tendency to fabricate information generally is likely to be present throughout the interview.  What is more difficult is consistency within the selection and interpretation of material across a number of interviews.  This issue is discussed at length by Ochberg (1996), he describes the process as </w:t>
      </w:r>
      <w:r w:rsidR="00F63CD8">
        <w:t>trying ... 'to</w:t>
      </w:r>
      <w:r>
        <w:t xml:space="preserve"> show what an informant accomplishes by recounting his or her history in a particular fashion' (p.98).  'The point of the interpretation is not to understand a single individual but to enlarge our conception of how sense might be made-' (p.102)  In interpreting a </w:t>
      </w:r>
      <w:r>
        <w:lastRenderedPageBreak/>
        <w:t xml:space="preserve">number of life histories the information is converted from one kind of account into another, from a story into a particular argument with a specific focal event or issue.  As Ochberg (1996) says ..'people do not register experience passively.  Instead sense is made.' (p.112.)  he goes on ...'Listening to them from an interpretative point of view is not demeaning.  It is rather, the only way we can notice both the power and the limits of our narrators' attempts to make something of their experience-and, thereby, themselves' (p.112).  Thompson (1978)  list of ways oral history can be put together: 1. Single life story narrative or; 2. Collection of stories (groups of lives to portray a community) or; 3. Cross-analysis: the oral evidence is treated as a quarry from which to construct an argument   The analysis in this study is focused on number three.  The following are the key aspects identified across the interviews. </w:t>
      </w:r>
    </w:p>
    <w:p w:rsidR="00626FE0" w:rsidRDefault="00626FE0" w:rsidP="00F63CD8">
      <w:pPr>
        <w:spacing w:line="240" w:lineRule="auto"/>
        <w:jc w:val="both"/>
        <w:rPr>
          <w:b/>
        </w:rPr>
      </w:pPr>
      <w:r>
        <w:rPr>
          <w:b/>
        </w:rPr>
        <w:t>Parental influence.</w:t>
      </w:r>
    </w:p>
    <w:p w:rsidR="00626FE0" w:rsidRDefault="00626FE0" w:rsidP="00F63CD8">
      <w:pPr>
        <w:spacing w:line="240" w:lineRule="auto"/>
        <w:jc w:val="both"/>
      </w:pPr>
      <w:r>
        <w:t>Parental influence was a strong theme of all the interviews.  In some cases it was centred on a forceful parent and their vision of what their children were going to go on to do in later life.  In these cases in appeared to predominantly be the mother who organised and had the clarity of purpose as can be felt in the following:</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I know for a fact that ever since I can remember my mother had decided I was going to Oxford.  (Interview with 'Thomas' 12/5/97)</w:t>
      </w:r>
    </w:p>
    <w:p w:rsidR="00626FE0" w:rsidRDefault="00626FE0" w:rsidP="00F63CD8">
      <w:pPr>
        <w:spacing w:line="240" w:lineRule="auto"/>
        <w:jc w:val="both"/>
      </w:pPr>
      <w:r>
        <w:t>Roberts (1995) describes a growing minority who was ambitious for their children, encouraging them to stay on at school and going on to higher education.  Interestingly Roberts highlights that it was the mother's attitude that determined the type and quality of education they received.  For 'Thomas' and 'Sam' this was clearly the case as their mother's were the family organisers.  This is supported by evidence collected by Roberts (1995, p.138) ...' mothers regarding the needs of their children as paramount'. as in the following:</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My mother was a very determined person, she was the one who organised us all, with my father's backing...She always made sure her job was tailored round being there for us and making sure we did what we were supposed to do. (Interview with 'Sam' 16/7/97)</w:t>
      </w:r>
    </w:p>
    <w:p w:rsidR="00626FE0" w:rsidRDefault="00626FE0" w:rsidP="00F63CD8">
      <w:pPr>
        <w:spacing w:line="240" w:lineRule="auto"/>
        <w:jc w:val="both"/>
      </w:pPr>
      <w:r>
        <w:t xml:space="preserve">In terms of the trend in working class parents' children going on to University and a correlation between parental aspirations and children's academic achievement then 'Thomas' and 'Harry’ parents fit into this category.  </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They were quite supportive they thought of education as a good thing because they hadn’t had it.  The people they admired and respected had had it, had got on further so they saw it as something valuable for its own sake but also as kind of economic security for my future.  (Interview with 'Harry' 5/7/97)</w:t>
      </w:r>
    </w:p>
    <w:p w:rsidR="00626FE0" w:rsidRDefault="00626FE0" w:rsidP="00F63CD8">
      <w:pPr>
        <w:spacing w:line="240" w:lineRule="auto"/>
        <w:jc w:val="both"/>
      </w:pPr>
      <w:r>
        <w:t>Yet in 'Sam's' interview the feeling was still prevalent as father was described as 'coming from humble beginnings'.  All those interviewed mentioned support with school work, this was sometimes overtly providing practice for tests.</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lastRenderedPageBreak/>
        <w:t>Do well academically and that was the number one thing as we were children and we were given every sort of help and encouragement like if there was a test coming up we were helped  (Interview with ‘Sam' 16/7/97)</w:t>
      </w:r>
    </w:p>
    <w:p w:rsidR="00626FE0" w:rsidRDefault="00626FE0" w:rsidP="00F63CD8">
      <w:pPr>
        <w:spacing w:line="240" w:lineRule="auto"/>
        <w:jc w:val="both"/>
      </w:pPr>
      <w:r>
        <w:t>Or it could mean providing extra classes to support the usual school work which 'Charles' mentioned on a number of occasions.  Above all these parents had confidence in their children’s abilities and set high expectations for their children.  For all those interviewed this was positive, no one described this as being pushed or struggling and becoming concerned about pressures to succeed.  For at least one of those interviewed the parental influence appeared stronger when decisions were to be made about study at University level:</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There was some possibility that I might do engineering because those were the jobs that were opening up and I quite liked it but I couldn't decide so my father said do mathematics because you can always go on do something else afterwards. ..(Interview with 'Charles' 4/7/97)</w:t>
      </w:r>
    </w:p>
    <w:p w:rsidR="00626FE0" w:rsidRDefault="00626FE0" w:rsidP="00F63CD8">
      <w:pPr>
        <w:spacing w:line="240" w:lineRule="auto"/>
        <w:jc w:val="both"/>
      </w:pPr>
      <w:r>
        <w:t>Roberts (1995, pp.51-3) details parental involvement in career and job choices as being the norm for children brought up in the inter-war and post-Second World War.  There was never any question of making decisions other than the ones your parents made, it was a case of going along with their decisions.  Other members of the family influenced behaviour and learning at the same time sign posting possible directions for future studying.  This brings in the notion of role models and children aspiring to emulate those they held in high regard.  There was also specific subject matter that could be learnt from these members of family.</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When I was 11 she (my aunt) taught me and my cousin, her son, trigonometry,....I remember managing to work out what these things were and enjoying that and she introduced me to the x when I was 11 and that certainly had an effect. I wanted to become a scientist because she was and my mother also had been...(Interview with 'Edward' 29/7/97)</w:t>
      </w:r>
    </w:p>
    <w:p w:rsidR="00626FE0" w:rsidRDefault="00626FE0" w:rsidP="00F63CD8">
      <w:pPr>
        <w:spacing w:line="240" w:lineRule="auto"/>
        <w:jc w:val="both"/>
        <w:rPr>
          <w:b/>
        </w:rPr>
      </w:pPr>
      <w:r>
        <w:rPr>
          <w:b/>
        </w:rPr>
        <w:t>Role of the teacher.</w:t>
      </w:r>
    </w:p>
    <w:p w:rsidR="00626FE0" w:rsidRDefault="00626FE0" w:rsidP="00F63CD8">
      <w:pPr>
        <w:spacing w:line="240" w:lineRule="auto"/>
        <w:jc w:val="both"/>
      </w:pPr>
      <w:r>
        <w:t xml:space="preserve">In studies that focused on the negative attitudes to learning mathematics the teacher played a significant part in people's recollections of events that formed their general view of mathematics.  Briggs and Crook (1991) cite a number of experiences where people were humiliated by the teacher in front of the class and many others related a lack of sensitivity on the part of the teacher.  </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The teacher thought I had cheated by looking up the answers in the back of the book, because my answers were exactly right.  Although she didn't accuse me, she called everyone up and tore the answers out from our books.  I never forgave her for humiliating me like that  (p.49)</w:t>
      </w:r>
    </w:p>
    <w:p w:rsidR="00626FE0" w:rsidRDefault="00626FE0" w:rsidP="00F63CD8">
      <w:pPr>
        <w:spacing w:line="240" w:lineRule="auto"/>
        <w:jc w:val="both"/>
      </w:pPr>
      <w:r>
        <w:t xml:space="preserve">It is not surprising that teachers play a central role in many of the interviewees’ experiences of learning mathematics and the examples that follow show the positive </w:t>
      </w:r>
      <w:r>
        <w:lastRenderedPageBreak/>
        <w:t>influence the teachers had those interviewed.  For Thomas being told what he needed to do was an encouragement not a put down.</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There was a guy who had this quality about him, he loved his mathematics.  He gave no praise to anybody, he never told me how good I was, he always told me how bad I was, he told me what more I needed to do to get there.  (Interview with 'Thomas' 12/5/97)</w:t>
      </w:r>
    </w:p>
    <w:p w:rsidR="00626FE0" w:rsidRDefault="00626FE0" w:rsidP="00F63CD8">
      <w:pPr>
        <w:spacing w:line="240" w:lineRule="auto"/>
        <w:jc w:val="both"/>
      </w:pPr>
      <w:r>
        <w:t>A new teacher to a school offered a different role model, brought different ideas with them and opened up possibilities that were previously not available.</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He produced the first maths sixth form ......Obviously there was something dormant there, but I think it could equally have been another subject maybe I had some special affection for mathematics.  (Interview with 'Harry' 5/7/97)</w:t>
      </w:r>
    </w:p>
    <w:p w:rsidR="00626FE0" w:rsidRDefault="00626FE0" w:rsidP="00F63CD8">
      <w:pPr>
        <w:spacing w:line="240" w:lineRule="auto"/>
        <w:jc w:val="both"/>
      </w:pPr>
      <w:r>
        <w:t xml:space="preserve">Different ways of teaching become a significant issue and remembered when considering </w:t>
      </w:r>
      <w:r w:rsidR="00F63CD8">
        <w:t>one’s</w:t>
      </w:r>
      <w:r>
        <w:t xml:space="preserve"> own teaching methods.</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We had a teacher who taught us geometry and he used to use more modern techniques like ... set us problems and ask us to talk to our neighbours about it this, he used to set us problems where he hadn’t previously shown us the solution.  (Interview with 'Edward' 29/7/97)</w:t>
      </w:r>
    </w:p>
    <w:p w:rsidR="00626FE0" w:rsidRDefault="00626FE0" w:rsidP="00F63CD8">
      <w:pPr>
        <w:spacing w:line="240" w:lineRule="auto"/>
        <w:jc w:val="both"/>
      </w:pPr>
      <w:r>
        <w:t>One of the things about significant people in some one’s life is that their influence pervades the whole of their lives at the time rather than just influencing a small part as the following shows.</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17th period we did non mathematics, so over two years we listened to music, studied art and talked about current affairs, we talked about philosophy, all sorts of things I didn’t have in my home background....He opened up a new world to me in that formative adolescent period...a genius of a teacher had an enormous effect on my life and my self esteem   (Interview with 'Harry' 5/7/97)</w:t>
      </w:r>
    </w:p>
    <w:p w:rsidR="00626FE0" w:rsidRDefault="00626FE0" w:rsidP="00F63CD8">
      <w:pPr>
        <w:spacing w:line="240" w:lineRule="auto"/>
        <w:jc w:val="both"/>
      </w:pPr>
      <w:r>
        <w:t>Not all experiences have to be positive to influence and motivate the learner.</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When I was about 10, I wanted to learn algebra. There was a girl in my class in my primary school and she was allowed to read this more advanced book and I told the teacher I wanted to be able to study this more advanced book and the teacher wouldn’t let me.  One day at lunch time I went to the cupboard and I stole this book out of the cupboard and the next day the teacher hauled me up in front of the class and demanded in a loud voice where this book was.  This little girl who was allowed to read this advanced book happened to be away that day so I said she told me I could take the book from the cupboard (Interview with 'Edward' 29/7/97)</w:t>
      </w:r>
    </w:p>
    <w:p w:rsidR="00626FE0" w:rsidRDefault="00626FE0" w:rsidP="00F63CD8">
      <w:pPr>
        <w:spacing w:line="240" w:lineRule="auto"/>
        <w:jc w:val="both"/>
        <w:rPr>
          <w:b/>
        </w:rPr>
      </w:pPr>
      <w:r>
        <w:rPr>
          <w:b/>
        </w:rPr>
        <w:t>The mathematics is the thing.</w:t>
      </w:r>
    </w:p>
    <w:p w:rsidR="00626FE0" w:rsidRDefault="00626FE0" w:rsidP="00F63CD8">
      <w:pPr>
        <w:spacing w:line="240" w:lineRule="auto"/>
        <w:jc w:val="both"/>
      </w:pPr>
      <w:r>
        <w:lastRenderedPageBreak/>
        <w:t>For many people who have struggled with mathematics it can be the nature of mathematics or specific aspects of the subject that cause significant difficulties.  Bell et al. (1983) point towards key areas of mathematics that cause difficulty.  For some of those interviewed in this project the introduction to specific aspects of mathematics provided the key to shifting the focus of their attention towards mathematics or showed an early indication of where their interests might lie in the future.  Or mathematics appeared to get easier and so became the selected subject for study and gave some insights into the mathematicians view of mathematics as opposed to views we might hold of the subject!</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I loved doing it, I loved the shape, I loved the power of it, I loved the way that it didn't matter which way you did it there was one truth inside.  What you were trying was to seek this distilled essence that was in there that was so pure and beautiful.  I got exquisite pleasure out of mathematics. (Interview with 'Thomas' 12/5/97)</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 xml:space="preserve">There's something about patterns that sort of attracts me but then it’s also about finding the links between them so </w:t>
      </w:r>
      <w:r w:rsidR="00F63CD8">
        <w:rPr>
          <w:rFonts w:ascii="Times" w:hAnsi="Times" w:cs="Times"/>
          <w:sz w:val="28"/>
          <w:szCs w:val="28"/>
        </w:rPr>
        <w:t>maybe</w:t>
      </w:r>
      <w:r>
        <w:rPr>
          <w:rFonts w:ascii="Times" w:hAnsi="Times" w:cs="Times"/>
          <w:sz w:val="28"/>
          <w:szCs w:val="28"/>
        </w:rPr>
        <w:t xml:space="preserve"> you have a numerical pattern and some algebraic thing, combinatorial thing kind of tracing and this thing tells you about this one...(Interview with 'Sam' 16/7/97)</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 xml:space="preserve">(Mathematical proof)...that is what started my interest in mathematics and I am sad that they don't they don't do this sort of thing </w:t>
      </w:r>
      <w:r w:rsidR="00F63CD8">
        <w:rPr>
          <w:rFonts w:ascii="Times" w:hAnsi="Times" w:cs="Times"/>
          <w:sz w:val="28"/>
          <w:szCs w:val="28"/>
        </w:rPr>
        <w:t>anymore</w:t>
      </w:r>
      <w:r>
        <w:rPr>
          <w:rFonts w:ascii="Times" w:hAnsi="Times" w:cs="Times"/>
          <w:sz w:val="28"/>
          <w:szCs w:val="28"/>
        </w:rPr>
        <w:t>.  It is very enjoyable, perhaps not by everybody.  I am an algebraist and this is what interests me, not only to we have the rule but we know why it works. .(Interview with 'Charles' 4/7/97)</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It’s a feeling that kind of these abstract things that all seem quite  mysterious but by thinking about them you can make sense of it so it’s a sense of the ability to dominate over the mysterious by giving a lot of thought (Interview with 'Edward' 29/7/97)</w:t>
      </w:r>
    </w:p>
    <w:p w:rsidR="00626FE0" w:rsidRDefault="00626FE0" w:rsidP="00F63CD8">
      <w:pPr>
        <w:spacing w:line="240" w:lineRule="auto"/>
        <w:jc w:val="both"/>
      </w:pPr>
      <w:r>
        <w:t>As with anyone whom has a passion for a subject these people see many interesting and exciting things in mathematics that challenges their skills and maintaining their continued enthusiasm for the subject.</w:t>
      </w:r>
    </w:p>
    <w:p w:rsidR="00626FE0" w:rsidRDefault="00626FE0" w:rsidP="00F63CD8">
      <w:pPr>
        <w:spacing w:line="240" w:lineRule="auto"/>
        <w:jc w:val="both"/>
        <w:rPr>
          <w:b/>
        </w:rPr>
      </w:pPr>
      <w:r>
        <w:rPr>
          <w:b/>
        </w:rPr>
        <w:t>Turning points.</w:t>
      </w:r>
    </w:p>
    <w:p w:rsidR="00626FE0" w:rsidRDefault="00626FE0" w:rsidP="00F63CD8">
      <w:pPr>
        <w:spacing w:line="240" w:lineRule="auto"/>
        <w:jc w:val="both"/>
      </w:pPr>
      <w:r>
        <w:t>At the University level of study there were clear turning points for two of the interviewees.  For the first time spent boycotting studies resulted in a decision that shaped the events to come.</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I realised that the only way I could possibly catch up was by doing mathematics, not by doing these four applied subjects at Cambridge, so I became a mathematician. (Interview with 'Edward' 29/7/97)</w:t>
      </w:r>
    </w:p>
    <w:p w:rsidR="00626FE0" w:rsidRDefault="00626FE0" w:rsidP="00F63CD8">
      <w:pPr>
        <w:spacing w:line="240" w:lineRule="auto"/>
        <w:jc w:val="both"/>
      </w:pPr>
      <w:r>
        <w:t>For the other a change to an engineering career didn't happen as a result of moving to England.</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lastRenderedPageBreak/>
        <w:t>Part of the reason why I didn’t become an engineer was I came to this country and mathematics had a much higher status here than engineering (Interview with 'Charles' 4/7/97).</w:t>
      </w:r>
    </w:p>
    <w:p w:rsidR="00626FE0" w:rsidRDefault="00626FE0" w:rsidP="00F63CD8">
      <w:pPr>
        <w:spacing w:line="240" w:lineRule="auto"/>
        <w:jc w:val="both"/>
      </w:pPr>
      <w:r>
        <w:rPr>
          <w:b/>
        </w:rPr>
        <w:t>Motivation</w:t>
      </w:r>
      <w:r>
        <w:t>.</w:t>
      </w:r>
    </w:p>
    <w:p w:rsidR="00626FE0" w:rsidRDefault="00626FE0" w:rsidP="00F63CD8">
      <w:pPr>
        <w:spacing w:line="240" w:lineRule="auto"/>
        <w:jc w:val="both"/>
      </w:pPr>
      <w:r>
        <w:t xml:space="preserve">What actually motivates people to do particular things or to decide a specific course of action is probably individually based yet it is possible to see some trends in the areas spoken about in the interviews.  As Cyril Willis recounts in Humphries (1981, p.58) at least two of those interviewed felt they had to succeed for their parents.  </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My mother was always there as this dominant force behind me.  I was going to conquer the earth so when I was working I was always aware that I had to keep going to conquer the earth...(Interview with 'Thomas' 12/5/97)</w:t>
      </w:r>
    </w:p>
    <w:p w:rsidR="00626FE0" w:rsidRDefault="00626FE0" w:rsidP="00F63CD8">
      <w:pPr>
        <w:spacing w:line="240" w:lineRule="auto"/>
        <w:jc w:val="both"/>
      </w:pPr>
      <w:r>
        <w:t>The challenge that mathematics provided was a strong motivation for most of those interviewed coupled with the fact that there were answers to found that could be evaluated.</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I think a lot of the reason I worked hard was wanting approval and not wanting to be criticised to the point where anybody told me anything wasn’t perfect it really upset me so I would work to see that it was really right  (Interview with 'Sam' 16/7/97)</w:t>
      </w:r>
    </w:p>
    <w:p w:rsidR="00626FE0" w:rsidRDefault="00626FE0" w:rsidP="00F63CD8">
      <w:pPr>
        <w:spacing w:line="240" w:lineRule="auto"/>
        <w:jc w:val="both"/>
      </w:pPr>
      <w:r>
        <w:t>During the early stages understanding took on less significance than getting things right.</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I learnt the routines and liked getting the right answer and I liked getting back my homework with lots of ticks on  (Interview with 'Harry' 5/7/97)</w:t>
      </w:r>
    </w:p>
    <w:p w:rsidR="00626FE0" w:rsidRDefault="00626FE0" w:rsidP="00F63CD8">
      <w:pPr>
        <w:spacing w:line="240" w:lineRule="auto"/>
        <w:jc w:val="both"/>
      </w:pPr>
      <w:r>
        <w:t>Or the challenge of finishing the work:</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I was doing calculus questions, it was such a joy such excitement so that first term coming up to Christmas day I'd nearly finished.  When I woke up on Christmas, I opened my presents then I put them away.  I was still doing calculus and finished that book at three o'clock on Christmas day. (Interview with 'Thomas' 12/5/97)</w:t>
      </w:r>
    </w:p>
    <w:p w:rsidR="00626FE0" w:rsidRDefault="00626FE0" w:rsidP="00F63CD8">
      <w:pPr>
        <w:spacing w:line="240" w:lineRule="auto"/>
        <w:jc w:val="both"/>
      </w:pPr>
      <w:r>
        <w:t>Even at an early age for some the challenge was even more exhilarating because the journey would continue and not cease.</w:t>
      </w:r>
    </w:p>
    <w:p w:rsidR="00626FE0" w:rsidRDefault="00626FE0" w:rsidP="00F63CD8">
      <w:pPr>
        <w:pStyle w:val="QuotationDisplayed"/>
        <w:spacing w:before="120" w:after="0" w:line="240" w:lineRule="auto"/>
        <w:jc w:val="both"/>
        <w:rPr>
          <w:rFonts w:ascii="Times" w:hAnsi="Times" w:cs="Times"/>
          <w:sz w:val="28"/>
          <w:szCs w:val="28"/>
        </w:rPr>
      </w:pPr>
      <w:r>
        <w:rPr>
          <w:rFonts w:ascii="Times" w:hAnsi="Times" w:cs="Times"/>
          <w:sz w:val="28"/>
          <w:szCs w:val="28"/>
        </w:rPr>
        <w:t>You see the peak in the distance and you think I'm going to get there,  you get there and then all of a sudden as you get closer you begin to realise...and you see through the mist another peak....It wasn't a deadening influence it was a liberating influence that I'd never sort of complete the task.  (Interview with 'Thomas' 12/5/97)</w:t>
      </w:r>
    </w:p>
    <w:p w:rsidR="00626FE0" w:rsidRDefault="00626FE0" w:rsidP="00F63CD8">
      <w:pPr>
        <w:spacing w:line="240" w:lineRule="auto"/>
        <w:jc w:val="both"/>
        <w:rPr>
          <w:b/>
        </w:rPr>
      </w:pPr>
      <w:r>
        <w:rPr>
          <w:b/>
        </w:rPr>
        <w:t>Conclusions and implications?</w:t>
      </w:r>
    </w:p>
    <w:p w:rsidR="00626FE0" w:rsidRDefault="00626FE0" w:rsidP="00F63CD8">
      <w:pPr>
        <w:spacing w:line="240" w:lineRule="auto"/>
        <w:jc w:val="both"/>
      </w:pPr>
      <w:r>
        <w:t xml:space="preserve">'Oral History is not necessarily an instrument of change; it depends upon the spirit in which it is used'. (Thompson, 1978, p.2).  In drawing tentative conclusions from  the interviews it is possible to highlight four factors influencing the right baggage.  Firstly </w:t>
      </w:r>
      <w:r>
        <w:lastRenderedPageBreak/>
        <w:t xml:space="preserve">the support of parents in the education process that is perhaps the least surprising of the findings since it is generally accepted that children do better at school if parents take an interest.  Though the role of the mother in particular in the process was an aspect of this support I shall be more aware of as a result of this work.  ...'The educational historian becomes concerned with the experiences of children and students as well as the problems of teachers and administrators'... (Thompson, 1978, p.6).  Secondly and again unsurprisingly the role of the teacher was for most of the speakers a factor in their success.  If a teacher can influence negatively then the converse should also be true.  Thirdly the element of challenge at the right time was linked to the role of the teacher though not exclusively.  This has implications for the teaching of mathematics if children are to be encouraged through challenges.  This in itself is a challenging task as the teacher must identify the children ready for the challenge and provide just the right amount of challenge at the appropriate time!!  Fourth that certain aspects of mathematics appeared to trigger a real enthusiasm for the subject setting it </w:t>
      </w:r>
      <w:r w:rsidR="00F63CD8">
        <w:t>apart</w:t>
      </w:r>
      <w:r>
        <w:t xml:space="preserve"> from others with which child might have been equally successful until they channelled their energies towards mathematics. </w:t>
      </w:r>
    </w:p>
    <w:p w:rsidR="00626FE0" w:rsidRDefault="00626FE0" w:rsidP="00F63CD8">
      <w:pPr>
        <w:pStyle w:val="Heading20"/>
        <w:spacing w:line="240" w:lineRule="auto"/>
        <w:jc w:val="both"/>
      </w:pPr>
      <w:r>
        <w:t>References</w:t>
      </w:r>
    </w:p>
    <w:p w:rsidR="00626FE0" w:rsidRDefault="00626FE0" w:rsidP="00F63CD8">
      <w:pPr>
        <w:spacing w:line="240" w:lineRule="auto"/>
        <w:jc w:val="both"/>
        <w:rPr>
          <w:sz w:val="24"/>
          <w:szCs w:val="24"/>
        </w:rPr>
      </w:pPr>
      <w:r>
        <w:rPr>
          <w:sz w:val="24"/>
          <w:szCs w:val="24"/>
        </w:rPr>
        <w:t xml:space="preserve">Briggs, M. and Crook, J (1991) Bags and Baggage, In Love, E. and Pimm, D. (eds.) (1992) </w:t>
      </w:r>
      <w:r>
        <w:rPr>
          <w:sz w:val="24"/>
          <w:szCs w:val="24"/>
        </w:rPr>
        <w:tab/>
      </w:r>
      <w:r>
        <w:rPr>
          <w:i/>
          <w:sz w:val="24"/>
          <w:szCs w:val="24"/>
        </w:rPr>
        <w:t>Teaching and Learning Mathematics,</w:t>
      </w:r>
      <w:r>
        <w:rPr>
          <w:sz w:val="24"/>
          <w:szCs w:val="24"/>
        </w:rPr>
        <w:t xml:space="preserve"> London. Hodder and Stoughton.</w:t>
      </w:r>
    </w:p>
    <w:p w:rsidR="00626FE0" w:rsidRDefault="00626FE0" w:rsidP="00F63CD8">
      <w:pPr>
        <w:spacing w:line="240" w:lineRule="auto"/>
        <w:jc w:val="both"/>
        <w:rPr>
          <w:sz w:val="24"/>
          <w:szCs w:val="24"/>
        </w:rPr>
      </w:pPr>
      <w:r>
        <w:rPr>
          <w:sz w:val="24"/>
          <w:szCs w:val="24"/>
        </w:rPr>
        <w:t xml:space="preserve">Buxton, L. (1981) </w:t>
      </w:r>
      <w:r>
        <w:rPr>
          <w:i/>
          <w:sz w:val="24"/>
          <w:szCs w:val="24"/>
        </w:rPr>
        <w:t>Do you panic about mathematics?</w:t>
      </w:r>
      <w:r>
        <w:rPr>
          <w:sz w:val="24"/>
          <w:szCs w:val="24"/>
        </w:rPr>
        <w:t xml:space="preserve"> , London, Heinemann.</w:t>
      </w:r>
    </w:p>
    <w:p w:rsidR="00626FE0" w:rsidRDefault="00626FE0" w:rsidP="00F63CD8">
      <w:pPr>
        <w:spacing w:line="240" w:lineRule="auto"/>
        <w:jc w:val="both"/>
        <w:rPr>
          <w:sz w:val="24"/>
          <w:szCs w:val="24"/>
        </w:rPr>
      </w:pPr>
      <w:r>
        <w:rPr>
          <w:sz w:val="24"/>
          <w:szCs w:val="24"/>
        </w:rPr>
        <w:t xml:space="preserve">Giles, J. (1992) 'Playing hard to get': working -class women, sexuality and respectability in Britain, </w:t>
      </w:r>
      <w:r>
        <w:rPr>
          <w:sz w:val="24"/>
          <w:szCs w:val="24"/>
        </w:rPr>
        <w:tab/>
        <w:t xml:space="preserve">1918-1940, </w:t>
      </w:r>
      <w:r>
        <w:rPr>
          <w:i/>
          <w:sz w:val="24"/>
          <w:szCs w:val="24"/>
        </w:rPr>
        <w:t>Women's History Review</w:t>
      </w:r>
      <w:r>
        <w:rPr>
          <w:sz w:val="24"/>
          <w:szCs w:val="24"/>
        </w:rPr>
        <w:t>, Vol.1, No.2, pp 239-55.</w:t>
      </w:r>
    </w:p>
    <w:p w:rsidR="00626FE0" w:rsidRDefault="00626FE0" w:rsidP="00F63CD8">
      <w:pPr>
        <w:spacing w:line="240" w:lineRule="auto"/>
        <w:jc w:val="both"/>
        <w:rPr>
          <w:sz w:val="24"/>
          <w:szCs w:val="24"/>
        </w:rPr>
      </w:pPr>
      <w:r>
        <w:rPr>
          <w:sz w:val="24"/>
          <w:szCs w:val="24"/>
        </w:rPr>
        <w:t xml:space="preserve">Humphries, S. (1981) </w:t>
      </w:r>
      <w:r>
        <w:rPr>
          <w:i/>
          <w:sz w:val="24"/>
          <w:szCs w:val="24"/>
        </w:rPr>
        <w:t xml:space="preserve">Hooligans or rebels? An Oral History of Working Class Childhood and Youth </w:t>
      </w:r>
      <w:r>
        <w:rPr>
          <w:i/>
          <w:sz w:val="24"/>
          <w:szCs w:val="24"/>
        </w:rPr>
        <w:tab/>
        <w:t xml:space="preserve">1889-1939. </w:t>
      </w:r>
      <w:r>
        <w:rPr>
          <w:sz w:val="24"/>
          <w:szCs w:val="24"/>
        </w:rPr>
        <w:t>Oxford, Basil Blackwell.</w:t>
      </w:r>
    </w:p>
    <w:p w:rsidR="00626FE0" w:rsidRDefault="00626FE0" w:rsidP="00F63CD8">
      <w:pPr>
        <w:spacing w:line="240" w:lineRule="auto"/>
        <w:jc w:val="both"/>
        <w:rPr>
          <w:sz w:val="24"/>
          <w:szCs w:val="24"/>
        </w:rPr>
      </w:pPr>
      <w:r>
        <w:rPr>
          <w:sz w:val="24"/>
          <w:szCs w:val="24"/>
        </w:rPr>
        <w:t xml:space="preserve">Niethammer, L. (1979) Oral History as a channel of communication between workers and historians, </w:t>
      </w:r>
      <w:r>
        <w:rPr>
          <w:sz w:val="24"/>
          <w:szCs w:val="24"/>
        </w:rPr>
        <w:tab/>
        <w:t xml:space="preserve">In Thompson, P.(ed.) with Burcharatt, N. (1982) </w:t>
      </w:r>
      <w:r>
        <w:rPr>
          <w:i/>
          <w:sz w:val="24"/>
          <w:szCs w:val="24"/>
        </w:rPr>
        <w:t xml:space="preserve">Our Common History : The Transformation </w:t>
      </w:r>
      <w:r>
        <w:rPr>
          <w:i/>
          <w:sz w:val="24"/>
          <w:szCs w:val="24"/>
        </w:rPr>
        <w:tab/>
        <w:t>of Europe</w:t>
      </w:r>
      <w:r>
        <w:rPr>
          <w:sz w:val="24"/>
          <w:szCs w:val="24"/>
        </w:rPr>
        <w:t>, London, Pluto Press, PP. 23-37.</w:t>
      </w:r>
    </w:p>
    <w:p w:rsidR="00626FE0" w:rsidRDefault="00626FE0" w:rsidP="00F63CD8">
      <w:pPr>
        <w:spacing w:line="240" w:lineRule="auto"/>
        <w:ind w:left="720" w:hanging="720"/>
        <w:jc w:val="both"/>
        <w:rPr>
          <w:sz w:val="24"/>
          <w:szCs w:val="24"/>
        </w:rPr>
      </w:pPr>
      <w:r>
        <w:rPr>
          <w:sz w:val="24"/>
          <w:szCs w:val="24"/>
        </w:rPr>
        <w:t xml:space="preserve">Ochberg, R. L. (1996) </w:t>
      </w:r>
      <w:r>
        <w:rPr>
          <w:sz w:val="24"/>
          <w:szCs w:val="24"/>
          <w:u w:val="single"/>
        </w:rPr>
        <w:t>'</w:t>
      </w:r>
      <w:r>
        <w:rPr>
          <w:sz w:val="24"/>
          <w:szCs w:val="24"/>
        </w:rPr>
        <w:t xml:space="preserve">Interpreting Life Stories' in Josselson, R. (ed.) (1996) </w:t>
      </w:r>
      <w:r>
        <w:rPr>
          <w:i/>
          <w:sz w:val="24"/>
          <w:szCs w:val="24"/>
        </w:rPr>
        <w:t xml:space="preserve">Ethics and Process </w:t>
      </w:r>
      <w:r>
        <w:rPr>
          <w:i/>
          <w:sz w:val="24"/>
          <w:szCs w:val="24"/>
        </w:rPr>
        <w:tab/>
        <w:t>in the Narrative Study of Lives,</w:t>
      </w:r>
      <w:r>
        <w:rPr>
          <w:sz w:val="24"/>
          <w:szCs w:val="24"/>
        </w:rPr>
        <w:t xml:space="preserve"> California, U. S. A., Sage, Publications.</w:t>
      </w:r>
    </w:p>
    <w:p w:rsidR="00626FE0" w:rsidRDefault="00626FE0" w:rsidP="00F63CD8">
      <w:pPr>
        <w:spacing w:line="240" w:lineRule="auto"/>
        <w:jc w:val="both"/>
        <w:rPr>
          <w:sz w:val="24"/>
          <w:szCs w:val="24"/>
        </w:rPr>
      </w:pPr>
      <w:r>
        <w:rPr>
          <w:sz w:val="24"/>
          <w:szCs w:val="24"/>
        </w:rPr>
        <w:t xml:space="preserve">Roberts, E. (1995) </w:t>
      </w:r>
      <w:r>
        <w:rPr>
          <w:i/>
          <w:sz w:val="24"/>
          <w:szCs w:val="24"/>
        </w:rPr>
        <w:t xml:space="preserve">A Women's Place: an oral history of working--class women’s </w:t>
      </w:r>
      <w:r>
        <w:rPr>
          <w:sz w:val="24"/>
          <w:szCs w:val="24"/>
        </w:rPr>
        <w:t xml:space="preserve">1890-1940, </w:t>
      </w:r>
      <w:r>
        <w:rPr>
          <w:sz w:val="24"/>
          <w:szCs w:val="24"/>
        </w:rPr>
        <w:tab/>
        <w:t>Oxford, Blackwell.</w:t>
      </w:r>
    </w:p>
    <w:p w:rsidR="00626FE0" w:rsidRDefault="00626FE0" w:rsidP="00F63CD8">
      <w:pPr>
        <w:spacing w:line="240" w:lineRule="auto"/>
        <w:jc w:val="both"/>
        <w:rPr>
          <w:sz w:val="24"/>
          <w:szCs w:val="24"/>
        </w:rPr>
      </w:pPr>
      <w:r>
        <w:rPr>
          <w:sz w:val="24"/>
          <w:szCs w:val="24"/>
        </w:rPr>
        <w:t xml:space="preserve">Samuel, R. And Thompson, P. (eds.) (1990) </w:t>
      </w:r>
      <w:r>
        <w:rPr>
          <w:i/>
          <w:sz w:val="24"/>
          <w:szCs w:val="24"/>
        </w:rPr>
        <w:t>The Myths we live by</w:t>
      </w:r>
      <w:r>
        <w:rPr>
          <w:sz w:val="24"/>
          <w:szCs w:val="24"/>
        </w:rPr>
        <w:t>, London, Routledge</w:t>
      </w:r>
    </w:p>
    <w:p w:rsidR="00626FE0" w:rsidRDefault="00626FE0" w:rsidP="00F63CD8">
      <w:pPr>
        <w:spacing w:line="240" w:lineRule="auto"/>
        <w:jc w:val="both"/>
        <w:rPr>
          <w:sz w:val="24"/>
          <w:szCs w:val="24"/>
        </w:rPr>
      </w:pPr>
      <w:r>
        <w:rPr>
          <w:sz w:val="24"/>
          <w:szCs w:val="24"/>
        </w:rPr>
        <w:t xml:space="preserve">Thompson, P. (1978) </w:t>
      </w:r>
      <w:r>
        <w:rPr>
          <w:i/>
          <w:sz w:val="24"/>
          <w:szCs w:val="24"/>
        </w:rPr>
        <w:t>The voice of the past. Oral History,</w:t>
      </w:r>
      <w:r>
        <w:rPr>
          <w:sz w:val="24"/>
          <w:szCs w:val="24"/>
        </w:rPr>
        <w:t xml:space="preserve"> Oxford, Oxford University Press.</w:t>
      </w:r>
    </w:p>
    <w:p w:rsidR="00626FE0" w:rsidRDefault="00626FE0" w:rsidP="00F63CD8">
      <w:pPr>
        <w:pStyle w:val="transcript"/>
        <w:spacing w:before="120" w:line="240" w:lineRule="auto"/>
        <w:ind w:left="620" w:hanging="620"/>
        <w:jc w:val="both"/>
      </w:pPr>
    </w:p>
    <w:p w:rsidR="00D66F50" w:rsidRDefault="00D66F50" w:rsidP="00F63CD8">
      <w:pPr>
        <w:pStyle w:val="transcript"/>
        <w:spacing w:before="120" w:line="240" w:lineRule="auto"/>
        <w:ind w:left="620" w:hanging="620"/>
        <w:jc w:val="both"/>
      </w:pPr>
    </w:p>
    <w:p w:rsidR="00D66F50" w:rsidRPr="00D66F50" w:rsidRDefault="00D66F50" w:rsidP="00F63CD8">
      <w:pPr>
        <w:spacing w:line="240" w:lineRule="auto"/>
        <w:jc w:val="both"/>
        <w:rPr>
          <w:rFonts w:ascii="Calibri" w:hAnsi="Calibri" w:cs="Times New Roman"/>
          <w:b/>
          <w:color w:val="000000"/>
          <w:sz w:val="22"/>
          <w:szCs w:val="22"/>
        </w:rPr>
      </w:pPr>
      <w:r w:rsidRPr="00D66F50">
        <w:rPr>
          <w:rFonts w:ascii="Calibri" w:hAnsi="Calibri" w:cs="Times New Roman"/>
          <w:b/>
          <w:color w:val="000000"/>
          <w:sz w:val="22"/>
          <w:szCs w:val="22"/>
        </w:rPr>
        <w:t>Originally published as</w:t>
      </w:r>
    </w:p>
    <w:p w:rsidR="00D66F50" w:rsidRDefault="00D66F50" w:rsidP="00F63CD8">
      <w:pPr>
        <w:spacing w:line="240" w:lineRule="auto"/>
        <w:jc w:val="both"/>
      </w:pPr>
      <w:r w:rsidRPr="00D66F50">
        <w:rPr>
          <w:rFonts w:ascii="Calibri" w:hAnsi="Calibri" w:cs="Times New Roman"/>
          <w:color w:val="000000"/>
          <w:sz w:val="22"/>
          <w:szCs w:val="22"/>
        </w:rPr>
        <w:t>Briggs, M. (1998) “The right baggage?” In Olivier,A. and Newstead,K. (1998) (</w:t>
      </w:r>
      <w:r w:rsidR="00F63CD8" w:rsidRPr="00D66F50">
        <w:rPr>
          <w:rFonts w:ascii="Calibri" w:hAnsi="Calibri" w:cs="Times New Roman"/>
          <w:color w:val="000000"/>
          <w:sz w:val="22"/>
          <w:szCs w:val="22"/>
        </w:rPr>
        <w:t>Eds</w:t>
      </w:r>
      <w:r w:rsidRPr="00D66F50">
        <w:rPr>
          <w:rFonts w:ascii="Calibri" w:hAnsi="Calibri" w:cs="Times New Roman"/>
          <w:color w:val="000000"/>
          <w:sz w:val="22"/>
          <w:szCs w:val="22"/>
        </w:rPr>
        <w:t>) Proceedings of the 22</w:t>
      </w:r>
      <w:r w:rsidRPr="00D66F50">
        <w:rPr>
          <w:rFonts w:ascii="Calibri" w:hAnsi="Calibri" w:cs="Times New Roman"/>
          <w:color w:val="000000"/>
          <w:sz w:val="22"/>
          <w:szCs w:val="22"/>
          <w:vertAlign w:val="superscript"/>
        </w:rPr>
        <w:t>nd</w:t>
      </w:r>
      <w:r w:rsidRPr="00D66F50">
        <w:rPr>
          <w:rFonts w:ascii="Calibri" w:hAnsi="Calibri" w:cs="Times New Roman"/>
          <w:color w:val="000000"/>
          <w:sz w:val="22"/>
          <w:szCs w:val="22"/>
        </w:rPr>
        <w:t xml:space="preserve"> Conference of the International Group for the Psychology of Mathematics Education, Stellenbosch, South Africa. Volume 2. pp. 152-159.</w:t>
      </w:r>
    </w:p>
    <w:sectPr w:rsidR="00D66F50" w:rsidSect="00AD1971">
      <w:footerReference w:type="default" r:id="rId6"/>
      <w:pgSz w:w="11880" w:h="16820"/>
      <w:pgMar w:top="1191" w:right="936" w:bottom="1134" w:left="123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D33" w:rsidRDefault="00EF7D33">
      <w:pPr>
        <w:spacing w:before="0" w:line="240" w:lineRule="auto"/>
      </w:pPr>
      <w:r>
        <w:separator/>
      </w:r>
    </w:p>
  </w:endnote>
  <w:endnote w:type="continuationSeparator" w:id="0">
    <w:p w:rsidR="00EF7D33" w:rsidRDefault="00EF7D33">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Geneva">
    <w:altName w:val="Arial"/>
    <w:panose1 w:val="00000000000000000000"/>
    <w:charset w:val="4D"/>
    <w:family w:val="auto"/>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FE0" w:rsidRDefault="00626FE0">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D33" w:rsidRDefault="00EF7D33">
      <w:pPr>
        <w:spacing w:before="0" w:line="240" w:lineRule="auto"/>
      </w:pPr>
      <w:r>
        <w:separator/>
      </w:r>
    </w:p>
  </w:footnote>
  <w:footnote w:type="continuationSeparator" w:id="0">
    <w:p w:rsidR="00EF7D33" w:rsidRDefault="00EF7D33">
      <w:pPr>
        <w:spacing w:before="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266B5F"/>
    <w:rsid w:val="00266B5F"/>
    <w:rsid w:val="00626FE0"/>
    <w:rsid w:val="0085573E"/>
    <w:rsid w:val="00AD1971"/>
    <w:rsid w:val="00D66F50"/>
    <w:rsid w:val="00DC7048"/>
    <w:rsid w:val="00E92F27"/>
    <w:rsid w:val="00EF7D33"/>
    <w:rsid w:val="00F63C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971"/>
    <w:pPr>
      <w:spacing w:before="120" w:line="320" w:lineRule="atLeast"/>
    </w:pPr>
    <w:rPr>
      <w:rFonts w:ascii="Times" w:hAnsi="Times" w:cs="Times"/>
      <w:sz w:val="28"/>
    </w:rPr>
  </w:style>
  <w:style w:type="paragraph" w:styleId="Heading1">
    <w:name w:val="heading 1"/>
    <w:aliases w:val="h1,Chapter head"/>
    <w:basedOn w:val="Normal"/>
    <w:next w:val="Normal"/>
    <w:qFormat/>
    <w:rsid w:val="00AD1971"/>
    <w:pPr>
      <w:tabs>
        <w:tab w:val="left" w:pos="6900"/>
      </w:tabs>
      <w:spacing w:before="240" w:after="120" w:line="240" w:lineRule="auto"/>
      <w:ind w:right="7"/>
      <w:jc w:val="both"/>
      <w:outlineLvl w:val="0"/>
    </w:pPr>
    <w:rPr>
      <w:rFonts w:ascii="New York" w:hAnsi="New York" w:cs="New York"/>
      <w:b/>
    </w:rPr>
  </w:style>
  <w:style w:type="paragraph" w:styleId="Heading2">
    <w:name w:val="heading 2"/>
    <w:aliases w:val="h2,Section head,B-Heading,HB"/>
    <w:basedOn w:val="Normal"/>
    <w:next w:val="Normal"/>
    <w:qFormat/>
    <w:rsid w:val="00AD1971"/>
    <w:pPr>
      <w:keepNext/>
      <w:spacing w:before="240" w:after="120" w:line="240" w:lineRule="auto"/>
      <w:ind w:right="320"/>
      <w:outlineLvl w:val="1"/>
    </w:pPr>
    <w:rPr>
      <w:rFonts w:ascii="New York" w:hAnsi="New York" w:cs="New York"/>
      <w:b/>
      <w:smallCaps/>
    </w:rPr>
  </w:style>
  <w:style w:type="paragraph" w:styleId="Heading3">
    <w:name w:val="heading 3"/>
    <w:aliases w:val="Sub-section head"/>
    <w:basedOn w:val="Normal"/>
    <w:next w:val="Normal"/>
    <w:qFormat/>
    <w:rsid w:val="00AD1971"/>
    <w:pPr>
      <w:spacing w:before="60" w:after="40" w:line="360" w:lineRule="atLeast"/>
      <w:outlineLvl w:val="2"/>
    </w:pPr>
    <w:rPr>
      <w:rFonts w:ascii="New York" w:hAnsi="New York" w:cs="New York"/>
      <w:b/>
    </w:rPr>
  </w:style>
  <w:style w:type="paragraph" w:styleId="Heading4">
    <w:name w:val="heading 4"/>
    <w:aliases w:val="D Head,HD"/>
    <w:basedOn w:val="Normal"/>
    <w:next w:val="Normal"/>
    <w:qFormat/>
    <w:rsid w:val="00AD1971"/>
    <w:pPr>
      <w:keepNext/>
      <w:keepLines/>
      <w:tabs>
        <w:tab w:val="left" w:pos="864"/>
      </w:tabs>
      <w:spacing w:before="240" w:after="240" w:line="360" w:lineRule="atLeast"/>
      <w:outlineLvl w:val="3"/>
    </w:pPr>
    <w:rPr>
      <w:rFonts w:ascii="Geneva" w:hAnsi="Geneva" w:cs="Geneva"/>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D1971"/>
    <w:pPr>
      <w:tabs>
        <w:tab w:val="center" w:pos="4819"/>
        <w:tab w:val="right" w:pos="9071"/>
      </w:tabs>
    </w:pPr>
  </w:style>
  <w:style w:type="paragraph" w:styleId="Header">
    <w:name w:val="header"/>
    <w:basedOn w:val="Normal"/>
    <w:rsid w:val="00AD1971"/>
    <w:pPr>
      <w:tabs>
        <w:tab w:val="center" w:pos="4819"/>
        <w:tab w:val="right" w:pos="9071"/>
      </w:tabs>
    </w:pPr>
  </w:style>
  <w:style w:type="character" w:styleId="FootnoteReference">
    <w:name w:val="footnote reference"/>
    <w:basedOn w:val="DefaultParagraphFont"/>
    <w:rsid w:val="00AD1971"/>
    <w:rPr>
      <w:position w:val="6"/>
      <w:sz w:val="16"/>
      <w:szCs w:val="16"/>
    </w:rPr>
  </w:style>
  <w:style w:type="paragraph" w:styleId="FootnoteText">
    <w:name w:val="footnote text"/>
    <w:basedOn w:val="Normal"/>
    <w:rsid w:val="00AD1971"/>
    <w:rPr>
      <w:sz w:val="20"/>
    </w:rPr>
  </w:style>
  <w:style w:type="paragraph" w:customStyle="1" w:styleId="Heading">
    <w:name w:val="Heading"/>
    <w:basedOn w:val="Normal"/>
    <w:rsid w:val="00AD1971"/>
    <w:pPr>
      <w:jc w:val="center"/>
    </w:pPr>
    <w:rPr>
      <w:b/>
      <w:caps/>
    </w:rPr>
  </w:style>
  <w:style w:type="paragraph" w:customStyle="1" w:styleId="Heading20">
    <w:name w:val="Heading2"/>
    <w:basedOn w:val="Normal"/>
    <w:rsid w:val="00AD1971"/>
    <w:rPr>
      <w:b/>
    </w:rPr>
  </w:style>
  <w:style w:type="paragraph" w:customStyle="1" w:styleId="Indented">
    <w:name w:val="Indented"/>
    <w:basedOn w:val="Normal"/>
    <w:rsid w:val="00AD1971"/>
    <w:pPr>
      <w:ind w:left="720"/>
    </w:pPr>
  </w:style>
  <w:style w:type="paragraph" w:customStyle="1" w:styleId="Hanging">
    <w:name w:val="Hanging"/>
    <w:basedOn w:val="Normal"/>
    <w:rsid w:val="00AD1971"/>
    <w:pPr>
      <w:spacing w:line="360" w:lineRule="atLeast"/>
      <w:ind w:left="720" w:hanging="720"/>
    </w:pPr>
  </w:style>
  <w:style w:type="paragraph" w:customStyle="1" w:styleId="Reference">
    <w:name w:val="Reference"/>
    <w:basedOn w:val="Normal"/>
    <w:rsid w:val="00AD1971"/>
    <w:pPr>
      <w:ind w:left="280" w:hanging="260"/>
    </w:pPr>
  </w:style>
  <w:style w:type="paragraph" w:customStyle="1" w:styleId="Abstract">
    <w:name w:val="Abstract"/>
    <w:basedOn w:val="Normal"/>
    <w:rsid w:val="00AD1971"/>
    <w:pPr>
      <w:spacing w:line="160" w:lineRule="atLeast"/>
    </w:pPr>
    <w:rPr>
      <w:i/>
    </w:rPr>
  </w:style>
  <w:style w:type="paragraph" w:customStyle="1" w:styleId="transcript">
    <w:name w:val="transcript"/>
    <w:basedOn w:val="Normal"/>
    <w:rsid w:val="00AD1971"/>
    <w:pPr>
      <w:spacing w:before="0" w:line="160" w:lineRule="atLeast"/>
    </w:pPr>
    <w:rPr>
      <w:sz w:val="24"/>
    </w:rPr>
  </w:style>
  <w:style w:type="paragraph" w:customStyle="1" w:styleId="Bulletlist">
    <w:name w:val="Bullet list"/>
    <w:basedOn w:val="Normal"/>
    <w:rsid w:val="00AD1971"/>
    <w:pPr>
      <w:spacing w:before="0" w:after="120" w:line="360" w:lineRule="atLeast"/>
      <w:ind w:left="620" w:hanging="620"/>
    </w:pPr>
    <w:rPr>
      <w:rFonts w:ascii="New York" w:hAnsi="New York" w:cs="New York"/>
    </w:rPr>
  </w:style>
  <w:style w:type="paragraph" w:customStyle="1" w:styleId="BlockTitle">
    <w:name w:val="Block Title"/>
    <w:aliases w:val="BT"/>
    <w:basedOn w:val="Normal"/>
    <w:next w:val="Normal"/>
    <w:rsid w:val="00AD1971"/>
    <w:pPr>
      <w:keepNext/>
      <w:keepLines/>
      <w:pBdr>
        <w:bottom w:val="single" w:sz="6" w:space="0" w:color="auto"/>
        <w:between w:val="single" w:sz="6" w:space="0" w:color="auto"/>
      </w:pBdr>
      <w:spacing w:before="240" w:after="240" w:line="480" w:lineRule="atLeast"/>
      <w:jc w:val="center"/>
    </w:pPr>
    <w:rPr>
      <w:rFonts w:ascii="New York" w:hAnsi="New York" w:cs="New York"/>
      <w:b/>
      <w:caps/>
      <w:sz w:val="48"/>
    </w:rPr>
  </w:style>
  <w:style w:type="paragraph" w:customStyle="1" w:styleId="QuotationDisplayed">
    <w:name w:val="Quotation – Displayed"/>
    <w:aliases w:val="QD"/>
    <w:basedOn w:val="Normal"/>
    <w:rsid w:val="00AD1971"/>
    <w:pPr>
      <w:spacing w:before="0" w:after="120" w:line="360" w:lineRule="atLeast"/>
      <w:ind w:left="720" w:right="720"/>
    </w:pPr>
    <w:rPr>
      <w:rFonts w:ascii="Geneva" w:hAnsi="Geneva" w:cs="Geneva"/>
      <w:sz w:val="24"/>
    </w:rPr>
  </w:style>
</w:styles>
</file>

<file path=word/webSettings.xml><?xml version="1.0" encoding="utf-8"?>
<w:webSettings xmlns:r="http://schemas.openxmlformats.org/officeDocument/2006/relationships" xmlns:w="http://schemas.openxmlformats.org/wordprocessingml/2006/main">
  <w:divs>
    <w:div w:id="1756703231">
      <w:bodyDiv w:val="1"/>
      <w:marLeft w:val="0"/>
      <w:marRight w:val="0"/>
      <w:marTop w:val="0"/>
      <w:marBottom w:val="0"/>
      <w:divBdr>
        <w:top w:val="none" w:sz="0" w:space="0" w:color="auto"/>
        <w:left w:val="none" w:sz="0" w:space="0" w:color="auto"/>
        <w:bottom w:val="none" w:sz="0" w:space="0" w:color="auto"/>
        <w:right w:val="none" w:sz="0" w:space="0" w:color="auto"/>
      </w:divBdr>
      <w:divsChild>
        <w:div w:id="11189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22354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edscf</dc:creator>
  <cp:keywords/>
  <cp:lastModifiedBy>Paul Ernest</cp:lastModifiedBy>
  <cp:revision>4</cp:revision>
  <dcterms:created xsi:type="dcterms:W3CDTF">2013-06-25T15:37:00Z</dcterms:created>
  <dcterms:modified xsi:type="dcterms:W3CDTF">2013-06-26T06:59:00Z</dcterms:modified>
</cp:coreProperties>
</file>